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En la Sociedad Municipal de Santa Brígida </w:t>
      </w:r>
      <w:r>
        <w:rPr>
          <w:b w:val="1"/>
          <w:bCs w:val="1"/>
        </w:rPr>
        <w:t xml:space="preserve">NO</w:t>
      </w:r>
      <w:r>
        <w:rPr/>
        <w:t xml:space="preserve"> cuenta el la actualidad ni durante los </w:t>
      </w:r>
      <w:r>
        <w:rPr>
          <w:b w:val="1"/>
          <w:bCs w:val="1"/>
        </w:rPr>
        <w:t xml:space="preserve">ejercicios 2023, 2024 y 2025</w:t>
      </w:r>
      <w:r>
        <w:rPr/>
        <w:t xml:space="preserve"> con a</w:t>
      </w:r>
      <w:r>
        <w:rPr>
          <w:b w:val="1"/>
          <w:bCs w:val="1"/>
        </w:rPr>
        <w:t xml:space="preserve">ltos cargos de los departamentos o consejerías ni personas titulares de los órganos superiores y directivos de la entidad.</w:t>
      </w:r>
    </w:p>
    <w:p>
      <w:pPr/>
      <w:r>
        <w:rPr/>
        <w:t xml:space="preserve">No existen organismos y entidades públicas, fundaciones públicas, consorcios y demás entidades privadas con participación mayoritaria (por lo tanto no existe personal de libre nombramiento).</w:t>
      </w:r>
    </w:p>
    <w:p>
      <w:pPr/>
      <w:r>
        <w:rPr/>
        <w:t xml:space="preserve">La única sociedad mercantil que existe es la Sociedad Municipal de Deportes de Santa Brígida.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Documentos de Interés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Altos cargos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2026-08-08T04:41:02+00:00</dcterms:created>
  <dcterms:modified xsi:type="dcterms:W3CDTF">2026-08-08T04:41:02+00:00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