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(Ley12/2014, de 26 de diciembre) en su apartado 4 Información en materia de empleo,concretamente en el subapartado “1044 Número de liberados/as sindicales, número de horas sindicales utilizadas por sindicato y, en su caso, sindicato al que pertenecen los liberados/as y coste de las liberaciones”, desde la Sociedad Municipal de Deportes de Santa Brígida, se pone en conocimiento de la ciudadanía de Santa Brígida y del público en general, que durante los ejercicios</w:t>
      </w:r>
      <w:r>
        <w:rPr>
          <w:b w:val="1"/>
          <w:bCs w:val="1"/>
        </w:rPr>
        <w:t xml:space="preserve"> 2023 y 2024 no existió actividad en este apartado</w:t>
      </w:r>
      <w:r>
        <w:rPr/>
        <w:t xml:space="preserve">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2026-05-09T12:48:52+00:00</dcterms:created>
  <dcterms:modified xsi:type="dcterms:W3CDTF">2026-05-09T12:48:52+00:00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