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 de diciembre) en su apartado B), subapartado g). del artículo 24. Información económico-financiera. “El gasto efectuado en concepto de arrendamiento de bienes inmuebles.”, desde Sociedad Municipal de Deportes de Santa Brígida, se pone en conocimiento de la ciudadanía de Santa Brígida y del público en general, que </w:t>
      </w:r>
      <w:r>
        <w:rPr>
          <w:b w:val="1"/>
          <w:bCs w:val="1"/>
        </w:rPr>
        <w:t xml:space="preserve">durante los ejercicios 2023 y</w:t>
      </w:r>
      <w:r>
        <w:rPr>
          <w:b w:val="1"/>
          <w:bCs w:val="1"/>
        </w:rPr>
        <w:t xml:space="preserve"> 2024 no se ha efectuado gasto en concepto de arrendamiento de bienes inmuebles,</w:t>
      </w:r>
      <w:r>
        <w:rPr/>
        <w:t xml:space="preserve"> pudiendo utilizar la ciudadanía los medios legalmente 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2026-05-09T12:50:53+00:00</dcterms:created>
  <dcterms:modified xsi:type="dcterms:W3CDTF">2026-05-09T12:50:53+00:00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