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spacing w:line="276" w:lineRule="auto"/>
      </w:pPr>
      <w:r>
        <w:rPr/>
        <w:t xml:space="preserve">Durante los ejercicios </w:t>
      </w:r>
      <w:r>
        <w:rPr>
          <w:b w:val="1"/>
          <w:bCs w:val="1"/>
        </w:rPr>
        <w:t xml:space="preserve">2023, 2024</w:t>
      </w:r>
      <w:r>
        <w:rPr/>
        <w:t xml:space="preserve">, y </w:t>
      </w:r>
      <w:r>
        <w:rPr>
          <w:b w:val="1"/>
          <w:bCs w:val="1"/>
        </w:rPr>
        <w:t xml:space="preserve">2025</w:t>
      </w:r>
      <w:r>
        <w:rPr/>
        <w:t xml:space="preserve"> la Sociedad Municipal de Deportes del Ayuntamiento de Santa Brígida no ha realizado encomiendas de gestión ni encargos a medios propios por importe superior a 5.000 €, IGIC excluido.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2026-06-23T21:59:26+00:00</dcterms:created>
  <dcterms:modified xsi:type="dcterms:W3CDTF">2026-06-23T21:59:26+00:00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