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General de Transparencia (Ley 12/2014, de 26 de diciembre) en su apartado 7. Económico-financiera, 7.2 Ingresos y Gastos, se pone en conocimiento de la ciudadanía de Gáldar y del público en general, que en la subcategoría 1104- Gasto de Personal y porcentaje sobre el gasto total es el siguiente: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 </w:t>
      </w:r>
    </w:p>
    <w:tbl>
      <w:tblGrid>
        <w:gridCol w:w="4815" w:type="dxa"/>
        <w:gridCol w:w="4815" w:type="dxa"/>
      </w:tblGrid>
      <w:tblPr>
        <w:tblW w:w="9645" w:type="dxa"/>
        <w:tblCellSpacing w:w="0" w:type="dxa"/>
        <w:tblLayout w:type="autofit"/>
        <w:bidiVisual w:val="0"/>
      </w:tblPr>
      <w:tr>
        <w:trPr/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Gasto Personal 2024</w:t>
            </w:r>
          </w:p>
        </w:tc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Porcentaje sobre gasto Total</w:t>
            </w:r>
          </w:p>
        </w:tc>
      </w:tr>
      <w:tr>
        <w:trPr/>
        <w:tc>
          <w:tcPr>
            <w:tcW w:w="4815" w:type="dxa"/>
            <w:vAlign w:val="top"/>
          </w:tcPr>
          <w:p>
            <w:pPr>
              <w:jc w:val="center"/>
            </w:pPr>
            <w:r>
              <w:rPr/>
              <w:t xml:space="preserve">555.990,00 €</w:t>
            </w:r>
          </w:p>
        </w:tc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rFonts w:ascii="'Arial'" w:hAnsi="'Arial'" w:eastAsia="'Arial'" w:cs="'Arial'"/>
                <w:color w:val="2c363a"/>
                <w:sz w:val="21"/>
                <w:szCs w:val="21"/>
              </w:rPr>
              <w:t xml:space="preserve">52,74 %</w:t>
            </w:r>
          </w:p>
        </w:tc>
      </w:tr>
    </w:tbl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 </w:t>
      </w:r>
    </w:p>
    <w:tbl>
      <w:tblGrid>
        <w:gridCol w:w="4815" w:type="dxa"/>
        <w:gridCol w:w="4815" w:type="dxa"/>
      </w:tblGrid>
      <w:tblPr>
        <w:tblW w:w="9645" w:type="dxa"/>
        <w:tblCellSpacing w:w="0" w:type="dxa"/>
        <w:tblLayout w:type="autofit"/>
        <w:bidiVisual w:val="0"/>
      </w:tblPr>
      <w:tr>
        <w:trPr/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Gasto Personal 2023</w:t>
            </w:r>
          </w:p>
        </w:tc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Porcentaje sobre gasto Total</w:t>
            </w:r>
          </w:p>
        </w:tc>
      </w:tr>
      <w:tr>
        <w:trPr/>
        <w:tc>
          <w:tcPr>
            <w:tcW w:w="4815" w:type="dxa"/>
            <w:vAlign w:val="top"/>
          </w:tcPr>
          <w:p>
            <w:pPr>
              <w:jc w:val="center"/>
            </w:pPr>
            <w:r>
              <w:rPr/>
              <w:t xml:space="preserve">386.480,21 €</w:t>
            </w:r>
          </w:p>
        </w:tc>
        <w:tc>
          <w:tcPr>
            <w:tcW w:w="4815" w:type="dxa"/>
            <w:vAlign w:val="top"/>
          </w:tcPr>
          <w:p>
            <w:pPr>
              <w:jc w:val="center"/>
            </w:pPr>
            <w:r>
              <w:rPr>
                <w:rFonts w:ascii="'Arial'" w:hAnsi="'Arial'" w:eastAsia="'Arial'" w:cs="'Arial'"/>
                <w:color w:val="2c363a"/>
                <w:sz w:val="21"/>
                <w:szCs w:val="21"/>
              </w:rPr>
              <w:t xml:space="preserve">44,87 %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2026-05-09T12:50:53+00:00</dcterms:created>
  <dcterms:modified xsi:type="dcterms:W3CDTF">2026-05-09T12:50:53+00:00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