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Año 2024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INFORMACIÓN GENERAL DE LAS RETRIBUCIONES ANUALES EN FUNCIÓN DE LA CLASE DEL ÓRGANO. Concejales y Concejalas del Grupo de Gobierno.</w:t>
      </w:r>
    </w:p>
    <w:p>
      <w:pPr>
        <w:jc w:val="start"/>
      </w:pPr>
      <w:r>
        <w:rPr/>
        <w:t xml:space="preserve">Año 2024. Dedicaciones y retribuciones que perciben la Alcaldía y Concejales del Ayuntamiento:</w:t>
      </w:r>
    </w:p>
    <w:p>
      <w:pPr>
        <w:jc w:val="start"/>
      </w:pPr>
      <w:r>
        <w:rPr/>
        <w:t xml:space="preserve">Grupo de Gobierno:</w:t>
      </w:r>
    </w:p>
    <w:p>
      <w:pPr>
        <w:jc w:val="start"/>
      </w:pPr>
      <w:r>
        <w:rPr/>
        <w:t xml:space="preserve"> Siete concejales de Oposición: Sin dedicación. Solo percepción de dietas por asistencias a órganos colegiados.</w:t>
      </w:r>
    </w:p>
    <w:p>
      <w:pPr>
        <w:jc w:val="start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2026-05-09T12:49:12+00:00</dcterms:created>
  <dcterms:modified xsi:type="dcterms:W3CDTF">2026-05-09T12:49:12+00:00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