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 </w:t>
      </w:r>
    </w:p>
    <w:p>
      <w:pPr>
        <w:jc w:val="both"/>
      </w:pPr>
      <w:r>
        <w:rPr/>
        <w:t xml:space="preserve">Durante los ejercicios 2023, 2024, y 2025 la Sociedad Municipal de Deportes de Santa Brígida no ha recibido soliciudes de acceso a la información pública, por lo tanto no se cuentan con información estadística ni resoluciones denegatorias.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2026-06-23T22:01:25+00:00</dcterms:created>
  <dcterms:modified xsi:type="dcterms:W3CDTF">2026-06-23T22:01:25+00:00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