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CONTRATOS ADJUDICADOS EJERCICIO 2024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43,26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84.206,72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31,94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62.175,08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21,33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41.517,29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3,48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6.765,00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194.664,09</w:t>
            </w:r>
            <w:r>
              <w:rPr>
                <w:b w:val="1"/>
                <w:bCs w:val="1"/>
              </w:rPr>
              <w:t xml:space="preserve"> €</w:t>
            </w:r>
          </w:p>
        </w:tc>
      </w:tr>
    </w:tbl>
    <w:p>
      <w:pPr/>
      <w:r>
        <w:rPr/>
        <w:t xml:space="preserve"> </w:t>
      </w:r>
    </w:p>
    <w:p>
      <w:pPr>
        <w:pStyle w:val="Heading3"/>
      </w:pPr>
      <w:r>
        <w:rPr/>
        <w:t xml:space="preserve">CONTRATOS ADJUDICADOS EJERCICIO 2023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31,16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46.192,33 €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5,47 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8.102,30 €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33,77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50.058,01 €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29,62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43.900 €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148.252,64 €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Estadísticas de contratación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Estadísticas de contratación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2026-05-09T12:48:51+00:00</dcterms:created>
  <dcterms:modified xsi:type="dcterms:W3CDTF">2026-05-09T12:48:51+00:00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